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C8" w:rsidRPr="00EB6B97" w:rsidRDefault="003D1FAC" w:rsidP="00AB63F6">
      <w:pPr>
        <w:pStyle w:val="NoSpacing"/>
        <w:jc w:val="center"/>
        <w:rPr>
          <w:rFonts w:ascii="Bookman Old Style" w:hAnsi="Bookman Old Style"/>
          <w:b/>
          <w:color w:val="0000CC"/>
          <w:sz w:val="24"/>
          <w:szCs w:val="24"/>
          <w:lang w:val="en-GB"/>
        </w:rPr>
      </w:pPr>
      <w:r w:rsidRPr="00EB6B97">
        <w:rPr>
          <w:rFonts w:ascii="Bookman Old Style" w:hAnsi="Bookman Old Style"/>
          <w:b/>
          <w:color w:val="0000CC"/>
          <w:sz w:val="24"/>
          <w:szCs w:val="24"/>
          <w:lang w:val="en-GB"/>
        </w:rPr>
        <w:t>UNIVERSITY OF ESWATINI</w:t>
      </w:r>
    </w:p>
    <w:p w:rsidR="003D1FAC" w:rsidRPr="00EB6B97" w:rsidRDefault="003D1FAC" w:rsidP="00AB63F6">
      <w:pPr>
        <w:pStyle w:val="NoSpacing"/>
        <w:jc w:val="center"/>
        <w:rPr>
          <w:rFonts w:ascii="Bookman Old Style" w:hAnsi="Bookman Old Style"/>
          <w:b/>
          <w:color w:val="0000CC"/>
          <w:sz w:val="24"/>
          <w:szCs w:val="24"/>
          <w:lang w:val="en-GB"/>
        </w:rPr>
      </w:pPr>
      <w:r w:rsidRPr="00EB6B97">
        <w:rPr>
          <w:rFonts w:ascii="Bookman Old Style" w:hAnsi="Bookman Old Style"/>
          <w:b/>
          <w:color w:val="0000CC"/>
          <w:sz w:val="24"/>
          <w:szCs w:val="24"/>
          <w:lang w:val="en-GB"/>
        </w:rPr>
        <w:t>INSTITUTE OF DISTANCE EDUCATION</w:t>
      </w:r>
    </w:p>
    <w:p w:rsidR="003D1FAC" w:rsidRPr="00EB6B97" w:rsidRDefault="003D1FAC" w:rsidP="00AB63F6">
      <w:pPr>
        <w:pStyle w:val="NoSpacing"/>
        <w:jc w:val="center"/>
        <w:rPr>
          <w:rFonts w:ascii="Bookman Old Style" w:hAnsi="Bookman Old Style"/>
          <w:b/>
          <w:color w:val="C00000"/>
          <w:sz w:val="24"/>
          <w:szCs w:val="24"/>
          <w:lang w:val="en-GB"/>
        </w:rPr>
      </w:pPr>
      <w:r w:rsidRPr="00EB6B97">
        <w:rPr>
          <w:rFonts w:ascii="Bookman Old Style" w:hAnsi="Bookman Old Style"/>
          <w:b/>
          <w:color w:val="C00000"/>
          <w:sz w:val="24"/>
          <w:szCs w:val="24"/>
          <w:lang w:val="en-GB"/>
        </w:rPr>
        <w:t>MATURE AGE ENTRY TRAINING PROGRAMME</w:t>
      </w:r>
    </w:p>
    <w:p w:rsidR="003D1FAC" w:rsidRPr="00EB6B97" w:rsidRDefault="003D1FAC" w:rsidP="000316B9">
      <w:pPr>
        <w:pStyle w:val="NoSpacing"/>
        <w:rPr>
          <w:lang w:val="en-GB"/>
        </w:rPr>
      </w:pPr>
    </w:p>
    <w:p w:rsidR="00936737" w:rsidRPr="00EB6B97" w:rsidRDefault="003D1FAC" w:rsidP="000316B9">
      <w:pPr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The University of Eswatini has introduced a </w:t>
      </w:r>
      <w:r w:rsidR="000E448D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short-term </w:t>
      </w:r>
      <w:r w:rsidRPr="00EB6B97"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  <w:t>Mature Age Entry</w:t>
      </w:r>
      <w:r w:rsidR="000E448D" w:rsidRPr="00EB6B97"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  <w:t>-</w:t>
      </w:r>
      <w:r w:rsidRPr="00EB6B97"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  <w:t>Pre-Entry Training Programme</w:t>
      </w:r>
      <w:r w:rsidR="000E448D" w:rsidRPr="00EB6B97"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  <w:t xml:space="preserve"> </w:t>
      </w:r>
      <w:r w:rsidR="000E448D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for the candidates who wish to be admitted to the University programmes through Mature Age Entry </w:t>
      </w:r>
      <w:r w:rsidR="00E44B1E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(MAE) </w:t>
      </w:r>
      <w:r w:rsidR="000E448D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Examination</w:t>
      </w:r>
      <w:r w:rsidR="00BA4DC4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.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</w:t>
      </w:r>
      <w:r w:rsidR="00BA4DC4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The training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would</w:t>
      </w:r>
      <w:r w:rsidR="00C04C65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give them an overview of the </w:t>
      </w:r>
      <w:r w:rsidR="00E44B1E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exam papers that</w:t>
      </w:r>
      <w:r w:rsidR="00C04C65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they </w:t>
      </w:r>
      <w:r w:rsidR="00E44B1E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wish</w:t>
      </w:r>
      <w:r w:rsidR="00C04C65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to write.</w:t>
      </w:r>
      <w:r w:rsidR="00E44B1E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It will enhance the applicants’ performance in the MAE examination.</w:t>
      </w:r>
      <w:r w:rsidR="00C04C65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 Further the candidates will be provided with course </w:t>
      </w:r>
      <w:r w:rsidR="000E1B83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training </w:t>
      </w:r>
      <w:r w:rsidR="00C04C65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manuals which facilitate them to prepare the MAE examination during and after the training without any difficulty.  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</w:t>
      </w:r>
    </w:p>
    <w:p w:rsidR="00E44B1E" w:rsidRPr="00EB6B97" w:rsidRDefault="00E44B1E" w:rsidP="000316B9">
      <w:pPr>
        <w:jc w:val="both"/>
        <w:rPr>
          <w:color w:val="0000CC"/>
          <w:sz w:val="24"/>
          <w:szCs w:val="24"/>
          <w:lang w:val="en-GB"/>
        </w:rPr>
      </w:pPr>
      <w:r w:rsidRPr="00EB6B97">
        <w:rPr>
          <w:color w:val="0000CC"/>
          <w:sz w:val="24"/>
          <w:szCs w:val="24"/>
          <w:lang w:val="en-GB"/>
        </w:rPr>
        <w:t>The MAE training programme covers the following 5 subject papers:</w:t>
      </w:r>
    </w:p>
    <w:p w:rsidR="0087269E" w:rsidRPr="000B0A32" w:rsidRDefault="0087269E" w:rsidP="000316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English Language  </w:t>
      </w: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  <w:t xml:space="preserve"> </w:t>
      </w:r>
    </w:p>
    <w:p w:rsidR="0087269E" w:rsidRPr="000B0A32" w:rsidRDefault="0087269E" w:rsidP="000316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>Mathematics</w:t>
      </w: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</w: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</w: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</w: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  <w:t xml:space="preserve"> </w:t>
      </w:r>
    </w:p>
    <w:p w:rsidR="0087269E" w:rsidRPr="000B0A32" w:rsidRDefault="0087269E" w:rsidP="000316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>Combined Science</w:t>
      </w:r>
      <w:r w:rsidR="000E1B83"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(Comprises of: Physics, Chemistry and Biology)</w:t>
      </w: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</w: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</w: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</w:r>
    </w:p>
    <w:p w:rsidR="0087269E" w:rsidRPr="000B0A32" w:rsidRDefault="0087269E" w:rsidP="000316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>Combined Commerce</w:t>
      </w:r>
      <w:r w:rsidR="000E1B83"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(Comprises of: Accounting and Business Administration).</w:t>
      </w: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</w:r>
    </w:p>
    <w:p w:rsidR="0087269E" w:rsidRPr="00EB6B97" w:rsidRDefault="0087269E" w:rsidP="000316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  <w:r w:rsidRPr="000B0A32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Aptitude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Test</w:t>
      </w:r>
    </w:p>
    <w:p w:rsidR="0087269E" w:rsidRPr="00EB6B97" w:rsidRDefault="000316B9" w:rsidP="000316B9">
      <w:pPr>
        <w:jc w:val="both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  <w:t>Training Delivery</w:t>
      </w:r>
    </w:p>
    <w:p w:rsidR="0087269E" w:rsidRPr="00EB6B97" w:rsidRDefault="0087269E" w:rsidP="000316B9">
      <w:pPr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1. Six hours for face to face session</w:t>
      </w:r>
      <w:r w:rsidR="006B499D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for each subject 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at the University of Eswatini</w:t>
      </w:r>
    </w:p>
    <w:p w:rsidR="0087269E" w:rsidRPr="00EB6B97" w:rsidRDefault="0087269E" w:rsidP="000316B9">
      <w:pPr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proofErr w:type="gramStart"/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2.  At least </w:t>
      </w:r>
      <w:r w:rsidR="003252C8">
        <w:rPr>
          <w:rFonts w:ascii="Times New Roman" w:hAnsi="Times New Roman" w:cs="Times New Roman"/>
          <w:color w:val="0000CC"/>
          <w:sz w:val="24"/>
          <w:szCs w:val="24"/>
          <w:lang w:val="en-GB"/>
        </w:rPr>
        <w:t>1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months</w:t>
      </w:r>
      <w:proofErr w:type="gramEnd"/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for individual work </w:t>
      </w:r>
      <w:r w:rsidR="00E44B1E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for preparation - </w:t>
      </w:r>
      <w:bookmarkStart w:id="0" w:name="_GoBack"/>
      <w:bookmarkEnd w:id="0"/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December</w:t>
      </w:r>
    </w:p>
    <w:p w:rsidR="0087269E" w:rsidRPr="00EB6B97" w:rsidRDefault="0087269E" w:rsidP="000316B9">
      <w:pPr>
        <w:jc w:val="both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  <w:r w:rsidRPr="00EB6B97"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  <w:t>Date</w:t>
      </w:r>
      <w:r w:rsidR="000316B9"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  <w:t>s</w:t>
      </w:r>
      <w:r w:rsidRPr="00EB6B97"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  <w:t xml:space="preserve"> of Training</w:t>
      </w:r>
    </w:p>
    <w:p w:rsidR="0087269E" w:rsidRPr="00EB6B97" w:rsidRDefault="0087269E" w:rsidP="000316B9">
      <w:pPr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Training Begins: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</w:r>
      <w:r w:rsidR="003252C8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November 14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, 20</w:t>
      </w:r>
      <w:r w:rsidR="000316B9">
        <w:rPr>
          <w:rFonts w:ascii="Times New Roman" w:hAnsi="Times New Roman" w:cs="Times New Roman"/>
          <w:color w:val="0000CC"/>
          <w:sz w:val="24"/>
          <w:szCs w:val="24"/>
          <w:lang w:val="en-GB"/>
        </w:rPr>
        <w:t>20</w:t>
      </w:r>
    </w:p>
    <w:p w:rsidR="0087269E" w:rsidRPr="00EB6B97" w:rsidRDefault="0087269E" w:rsidP="000316B9">
      <w:pPr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Training Ends: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</w:r>
      <w:r w:rsidR="003252C8">
        <w:rPr>
          <w:rFonts w:ascii="Times New Roman" w:hAnsi="Times New Roman" w:cs="Times New Roman"/>
          <w:color w:val="0000CC"/>
          <w:sz w:val="24"/>
          <w:szCs w:val="24"/>
          <w:lang w:val="en-GB"/>
        </w:rPr>
        <w:t>December 04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, 20</w:t>
      </w:r>
      <w:r w:rsidR="000316B9">
        <w:rPr>
          <w:rFonts w:ascii="Times New Roman" w:hAnsi="Times New Roman" w:cs="Times New Roman"/>
          <w:color w:val="0000CC"/>
          <w:sz w:val="24"/>
          <w:szCs w:val="24"/>
          <w:lang w:val="en-GB"/>
        </w:rPr>
        <w:t>20</w:t>
      </w:r>
    </w:p>
    <w:p w:rsidR="006B499D" w:rsidRPr="00EB6B97" w:rsidRDefault="006B499D" w:rsidP="000316B9">
      <w:pPr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Individual practice: 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  <w:t>December 20</w:t>
      </w:r>
      <w:r w:rsidR="000316B9">
        <w:rPr>
          <w:rFonts w:ascii="Times New Roman" w:hAnsi="Times New Roman" w:cs="Times New Roman"/>
          <w:color w:val="0000CC"/>
          <w:sz w:val="24"/>
          <w:szCs w:val="24"/>
          <w:lang w:val="en-GB"/>
        </w:rPr>
        <w:t>20</w:t>
      </w:r>
    </w:p>
    <w:p w:rsidR="006B499D" w:rsidRPr="00EB6B97" w:rsidRDefault="006B499D" w:rsidP="000316B9">
      <w:pPr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Examination: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ab/>
        <w:t>January 202</w:t>
      </w:r>
      <w:r w:rsidR="000316B9">
        <w:rPr>
          <w:rFonts w:ascii="Times New Roman" w:hAnsi="Times New Roman" w:cs="Times New Roman"/>
          <w:color w:val="0000CC"/>
          <w:sz w:val="24"/>
          <w:szCs w:val="24"/>
          <w:lang w:val="en-GB"/>
        </w:rPr>
        <w:t>1</w:t>
      </w:r>
    </w:p>
    <w:p w:rsidR="0087269E" w:rsidRPr="00EB6B97" w:rsidRDefault="006B499D" w:rsidP="000316B9">
      <w:pPr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The table </w:t>
      </w:r>
      <w:r w:rsidR="00E44B1E"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>given below</w:t>
      </w:r>
      <w:r w:rsidRPr="00EB6B97">
        <w:rPr>
          <w:rFonts w:ascii="Times New Roman" w:hAnsi="Times New Roman" w:cs="Times New Roman"/>
          <w:color w:val="0000CC"/>
          <w:sz w:val="24"/>
          <w:szCs w:val="24"/>
          <w:lang w:val="en-GB"/>
        </w:rPr>
        <w:t xml:space="preserve"> gives you an idea on which papers you will write for which programme.</w:t>
      </w:r>
    </w:p>
    <w:p w:rsidR="0087269E" w:rsidRPr="00EB6B97" w:rsidRDefault="0087269E" w:rsidP="000316B9">
      <w:pPr>
        <w:jc w:val="both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  <w:r w:rsidRPr="00EB6B97"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  <w:t>Streams for Training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3084"/>
        <w:gridCol w:w="2856"/>
        <w:gridCol w:w="3510"/>
      </w:tblGrid>
      <w:tr w:rsidR="00EB6B97" w:rsidRPr="00EB6B97" w:rsidTr="00AB63F6">
        <w:tc>
          <w:tcPr>
            <w:tcW w:w="3084" w:type="dxa"/>
          </w:tcPr>
          <w:p w:rsidR="0087269E" w:rsidRPr="00EB6B97" w:rsidRDefault="0087269E" w:rsidP="000316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CC"/>
                <w:lang w:val="en-GB"/>
              </w:rPr>
            </w:pPr>
            <w:r w:rsidRPr="00EB6B97">
              <w:rPr>
                <w:rFonts w:ascii="Times New Roman" w:hAnsi="Times New Roman" w:cs="Times New Roman"/>
                <w:b/>
                <w:color w:val="0000CC"/>
                <w:lang w:val="en-GB"/>
              </w:rPr>
              <w:t>COMMERCE</w:t>
            </w:r>
          </w:p>
        </w:tc>
        <w:tc>
          <w:tcPr>
            <w:tcW w:w="2856" w:type="dxa"/>
          </w:tcPr>
          <w:p w:rsidR="0087269E" w:rsidRPr="00EB6B97" w:rsidRDefault="0087269E" w:rsidP="000316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CC"/>
                <w:lang w:val="en-GB"/>
              </w:rPr>
            </w:pPr>
            <w:r w:rsidRPr="00EB6B97">
              <w:rPr>
                <w:rFonts w:ascii="Times New Roman" w:hAnsi="Times New Roman" w:cs="Times New Roman"/>
                <w:b/>
                <w:color w:val="0000CC"/>
                <w:lang w:val="en-GB"/>
              </w:rPr>
              <w:t>SCIENCES</w:t>
            </w:r>
          </w:p>
        </w:tc>
        <w:tc>
          <w:tcPr>
            <w:tcW w:w="3510" w:type="dxa"/>
          </w:tcPr>
          <w:p w:rsidR="00E44B1E" w:rsidRPr="00EB6B97" w:rsidRDefault="0087269E" w:rsidP="000316B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CC"/>
                <w:lang w:val="en-GB"/>
              </w:rPr>
            </w:pPr>
            <w:r w:rsidRPr="00EB6B97">
              <w:rPr>
                <w:rFonts w:ascii="Times New Roman" w:hAnsi="Times New Roman" w:cs="Times New Roman"/>
                <w:b/>
                <w:color w:val="0000CC"/>
                <w:lang w:val="en-GB"/>
              </w:rPr>
              <w:t>OTHER</w:t>
            </w:r>
            <w:r w:rsidR="00E44B1E" w:rsidRPr="00EB6B97">
              <w:rPr>
                <w:rFonts w:ascii="Times New Roman" w:hAnsi="Times New Roman" w:cs="Times New Roman"/>
                <w:b/>
                <w:color w:val="0000CC"/>
                <w:lang w:val="en-GB"/>
              </w:rPr>
              <w:t>S</w:t>
            </w:r>
            <w:r w:rsidRPr="00EB6B97">
              <w:rPr>
                <w:rFonts w:ascii="Times New Roman" w:hAnsi="Times New Roman" w:cs="Times New Roman"/>
                <w:b/>
                <w:color w:val="0000CC"/>
                <w:lang w:val="en-GB"/>
              </w:rPr>
              <w:t xml:space="preserve"> (HUMANITIES, EDUCATION &amp; SOCIAL SCIENCES)</w:t>
            </w:r>
          </w:p>
        </w:tc>
      </w:tr>
      <w:tr w:rsidR="00EB6B97" w:rsidRPr="00EB6B97" w:rsidTr="00AB63F6">
        <w:tc>
          <w:tcPr>
            <w:tcW w:w="3084" w:type="dxa"/>
          </w:tcPr>
          <w:p w:rsidR="0087269E" w:rsidRPr="00EB6B97" w:rsidRDefault="00231BA6" w:rsidP="000316B9">
            <w:pPr>
              <w:pStyle w:val="NoSpacing"/>
              <w:spacing w:line="276" w:lineRule="auto"/>
              <w:rPr>
                <w:color w:val="0000CC"/>
                <w:lang w:val="en-GB"/>
              </w:rPr>
            </w:pPr>
            <w:r w:rsidRPr="00EB6B97">
              <w:rPr>
                <w:color w:val="0000CC"/>
                <w:lang w:val="en-GB"/>
              </w:rPr>
              <w:t xml:space="preserve">1. </w:t>
            </w:r>
            <w:r w:rsidR="006B499D" w:rsidRPr="00EB6B97">
              <w:rPr>
                <w:color w:val="0000CC"/>
                <w:lang w:val="en-GB"/>
              </w:rPr>
              <w:t>ENGLISH LANGUAGE</w:t>
            </w:r>
          </w:p>
        </w:tc>
        <w:tc>
          <w:tcPr>
            <w:tcW w:w="2856" w:type="dxa"/>
          </w:tcPr>
          <w:p w:rsidR="0087269E" w:rsidRPr="00EB6B97" w:rsidRDefault="00231BA6" w:rsidP="000316B9">
            <w:pPr>
              <w:pStyle w:val="NoSpacing"/>
              <w:spacing w:line="276" w:lineRule="auto"/>
              <w:rPr>
                <w:color w:val="0000CC"/>
                <w:lang w:val="en-GB"/>
              </w:rPr>
            </w:pPr>
            <w:r w:rsidRPr="00EB6B97">
              <w:rPr>
                <w:color w:val="0000CC"/>
                <w:lang w:val="en-GB"/>
              </w:rPr>
              <w:t xml:space="preserve">1. </w:t>
            </w:r>
            <w:r w:rsidR="006B499D" w:rsidRPr="00EB6B97">
              <w:rPr>
                <w:color w:val="0000CC"/>
                <w:lang w:val="en-GB"/>
              </w:rPr>
              <w:t>ENGLISH LANGUAGE</w:t>
            </w:r>
          </w:p>
        </w:tc>
        <w:tc>
          <w:tcPr>
            <w:tcW w:w="3510" w:type="dxa"/>
          </w:tcPr>
          <w:p w:rsidR="00E44B1E" w:rsidRPr="00EB6B97" w:rsidRDefault="00231BA6" w:rsidP="000316B9">
            <w:pPr>
              <w:pStyle w:val="NoSpacing"/>
              <w:spacing w:line="276" w:lineRule="auto"/>
              <w:rPr>
                <w:color w:val="0000CC"/>
                <w:lang w:val="en-GB"/>
              </w:rPr>
            </w:pPr>
            <w:r w:rsidRPr="00EB6B97">
              <w:rPr>
                <w:color w:val="0000CC"/>
                <w:lang w:val="en-GB"/>
              </w:rPr>
              <w:t xml:space="preserve">1. </w:t>
            </w:r>
            <w:r w:rsidR="006B499D" w:rsidRPr="00EB6B97">
              <w:rPr>
                <w:color w:val="0000CC"/>
                <w:lang w:val="en-GB"/>
              </w:rPr>
              <w:t>ENGLISH LANGUAGE</w:t>
            </w:r>
          </w:p>
        </w:tc>
      </w:tr>
      <w:tr w:rsidR="00EB6B97" w:rsidRPr="00EB6B97" w:rsidTr="00AB63F6">
        <w:tc>
          <w:tcPr>
            <w:tcW w:w="3084" w:type="dxa"/>
          </w:tcPr>
          <w:p w:rsidR="0087269E" w:rsidRPr="00EB6B97" w:rsidRDefault="00231BA6" w:rsidP="000316B9">
            <w:pPr>
              <w:pStyle w:val="NoSpacing"/>
              <w:spacing w:line="276" w:lineRule="auto"/>
              <w:rPr>
                <w:color w:val="0000CC"/>
                <w:lang w:val="en-GB"/>
              </w:rPr>
            </w:pPr>
            <w:r w:rsidRPr="00EB6B97">
              <w:rPr>
                <w:color w:val="0000CC"/>
                <w:lang w:val="en-GB"/>
              </w:rPr>
              <w:t xml:space="preserve">2. </w:t>
            </w:r>
            <w:r w:rsidR="006B499D" w:rsidRPr="00EB6B97">
              <w:rPr>
                <w:color w:val="0000CC"/>
                <w:lang w:val="en-GB"/>
              </w:rPr>
              <w:t>MATHEMATICS</w:t>
            </w:r>
          </w:p>
        </w:tc>
        <w:tc>
          <w:tcPr>
            <w:tcW w:w="2856" w:type="dxa"/>
          </w:tcPr>
          <w:p w:rsidR="0087269E" w:rsidRPr="00EB6B97" w:rsidRDefault="00231BA6" w:rsidP="000316B9">
            <w:pPr>
              <w:pStyle w:val="NoSpacing"/>
              <w:spacing w:line="276" w:lineRule="auto"/>
              <w:rPr>
                <w:color w:val="0000CC"/>
                <w:lang w:val="en-GB"/>
              </w:rPr>
            </w:pPr>
            <w:r w:rsidRPr="00EB6B97">
              <w:rPr>
                <w:color w:val="0000CC"/>
                <w:lang w:val="en-GB"/>
              </w:rPr>
              <w:t xml:space="preserve">2. </w:t>
            </w:r>
            <w:r w:rsidR="006B499D" w:rsidRPr="00EB6B97">
              <w:rPr>
                <w:color w:val="0000CC"/>
                <w:lang w:val="en-GB"/>
              </w:rPr>
              <w:t>MATHEMATICS</w:t>
            </w:r>
          </w:p>
        </w:tc>
        <w:tc>
          <w:tcPr>
            <w:tcW w:w="3510" w:type="dxa"/>
          </w:tcPr>
          <w:p w:rsidR="00E44B1E" w:rsidRPr="00EB6B97" w:rsidRDefault="00231BA6" w:rsidP="000316B9">
            <w:pPr>
              <w:pStyle w:val="NoSpacing"/>
              <w:spacing w:line="276" w:lineRule="auto"/>
              <w:rPr>
                <w:color w:val="0000CC"/>
                <w:lang w:val="en-GB"/>
              </w:rPr>
            </w:pPr>
            <w:r w:rsidRPr="00EB6B97">
              <w:rPr>
                <w:color w:val="0000CC"/>
                <w:lang w:val="en-GB"/>
              </w:rPr>
              <w:t xml:space="preserve">2. </w:t>
            </w:r>
            <w:r w:rsidR="006B499D" w:rsidRPr="00EB6B97">
              <w:rPr>
                <w:color w:val="0000CC"/>
                <w:lang w:val="en-GB"/>
              </w:rPr>
              <w:t>APTITUDE TEST</w:t>
            </w:r>
          </w:p>
        </w:tc>
      </w:tr>
      <w:tr w:rsidR="00EB6B97" w:rsidRPr="00EB6B97" w:rsidTr="00AB63F6">
        <w:tc>
          <w:tcPr>
            <w:tcW w:w="3084" w:type="dxa"/>
          </w:tcPr>
          <w:p w:rsidR="0087269E" w:rsidRPr="00EB6B97" w:rsidRDefault="00231BA6" w:rsidP="000316B9">
            <w:pPr>
              <w:pStyle w:val="NoSpacing"/>
              <w:spacing w:line="276" w:lineRule="auto"/>
              <w:rPr>
                <w:color w:val="0000CC"/>
                <w:lang w:val="en-GB"/>
              </w:rPr>
            </w:pPr>
            <w:r w:rsidRPr="00EB6B97">
              <w:rPr>
                <w:color w:val="0000CC"/>
                <w:lang w:val="en-GB"/>
              </w:rPr>
              <w:t xml:space="preserve">3. </w:t>
            </w:r>
            <w:r w:rsidR="006B499D" w:rsidRPr="00EB6B97">
              <w:rPr>
                <w:color w:val="0000CC"/>
                <w:lang w:val="en-GB"/>
              </w:rPr>
              <w:t>COMBINED COMMERCE</w:t>
            </w:r>
          </w:p>
        </w:tc>
        <w:tc>
          <w:tcPr>
            <w:tcW w:w="2856" w:type="dxa"/>
          </w:tcPr>
          <w:p w:rsidR="00E44B1E" w:rsidRPr="00EB6B97" w:rsidRDefault="00231BA6" w:rsidP="000316B9">
            <w:pPr>
              <w:pStyle w:val="NoSpacing"/>
              <w:spacing w:line="276" w:lineRule="auto"/>
              <w:rPr>
                <w:color w:val="0000CC"/>
                <w:lang w:val="en-GB"/>
              </w:rPr>
            </w:pPr>
            <w:r w:rsidRPr="00EB6B97">
              <w:rPr>
                <w:color w:val="0000CC"/>
                <w:lang w:val="en-GB"/>
              </w:rPr>
              <w:t xml:space="preserve">3. </w:t>
            </w:r>
            <w:r w:rsidR="006B499D" w:rsidRPr="00EB6B97">
              <w:rPr>
                <w:color w:val="0000CC"/>
                <w:lang w:val="en-GB"/>
              </w:rPr>
              <w:t>COMBINED SCIENCE</w:t>
            </w:r>
          </w:p>
        </w:tc>
        <w:tc>
          <w:tcPr>
            <w:tcW w:w="3510" w:type="dxa"/>
          </w:tcPr>
          <w:p w:rsidR="0087269E" w:rsidRPr="00EB6B97" w:rsidRDefault="000316B9" w:rsidP="000316B9">
            <w:pPr>
              <w:pStyle w:val="NoSpacing"/>
              <w:spacing w:line="276" w:lineRule="auto"/>
              <w:rPr>
                <w:color w:val="0000CC"/>
                <w:lang w:val="en-GB"/>
              </w:rPr>
            </w:pPr>
            <w:r>
              <w:rPr>
                <w:color w:val="0000CC"/>
                <w:lang w:val="en-GB"/>
              </w:rPr>
              <w:t>---</w:t>
            </w:r>
          </w:p>
        </w:tc>
      </w:tr>
    </w:tbl>
    <w:p w:rsidR="0087269E" w:rsidRPr="00EB6B97" w:rsidRDefault="0087269E" w:rsidP="00231BA6">
      <w:pPr>
        <w:spacing w:line="360" w:lineRule="auto"/>
        <w:jc w:val="both"/>
        <w:rPr>
          <w:color w:val="0000CC"/>
          <w:sz w:val="24"/>
          <w:lang w:val="en-GB"/>
        </w:rPr>
      </w:pPr>
    </w:p>
    <w:p w:rsidR="0087269E" w:rsidRPr="00EB6B97" w:rsidRDefault="0087269E" w:rsidP="00231BA6">
      <w:pPr>
        <w:spacing w:line="360" w:lineRule="auto"/>
        <w:jc w:val="both"/>
        <w:rPr>
          <w:color w:val="0000CC"/>
          <w:sz w:val="24"/>
          <w:lang w:val="en-GB"/>
        </w:rPr>
      </w:pPr>
      <w:r w:rsidRPr="00EB6B97">
        <w:rPr>
          <w:color w:val="0000CC"/>
          <w:sz w:val="24"/>
          <w:lang w:val="en-GB"/>
        </w:rPr>
        <w:t xml:space="preserve"> </w:t>
      </w:r>
    </w:p>
    <w:sectPr w:rsidR="0087269E" w:rsidRPr="00EB6B97" w:rsidSect="000316B9">
      <w:pgSz w:w="12240" w:h="15840"/>
      <w:pgMar w:top="1008" w:right="1296" w:bottom="100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C1D"/>
    <w:multiLevelType w:val="hybridMultilevel"/>
    <w:tmpl w:val="601E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511A3"/>
    <w:multiLevelType w:val="hybridMultilevel"/>
    <w:tmpl w:val="894CBB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213F42"/>
    <w:multiLevelType w:val="hybridMultilevel"/>
    <w:tmpl w:val="C66CBF00"/>
    <w:lvl w:ilvl="0" w:tplc="DCFC509C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AC"/>
    <w:rsid w:val="000316B9"/>
    <w:rsid w:val="00091FE7"/>
    <w:rsid w:val="000B0A32"/>
    <w:rsid w:val="000E1B83"/>
    <w:rsid w:val="000E448D"/>
    <w:rsid w:val="00231BA6"/>
    <w:rsid w:val="003252C8"/>
    <w:rsid w:val="003D1FAC"/>
    <w:rsid w:val="005362C8"/>
    <w:rsid w:val="0060495B"/>
    <w:rsid w:val="006B499D"/>
    <w:rsid w:val="007F0AF9"/>
    <w:rsid w:val="0087269E"/>
    <w:rsid w:val="00936737"/>
    <w:rsid w:val="00AB63F6"/>
    <w:rsid w:val="00BA4DC4"/>
    <w:rsid w:val="00C04C65"/>
    <w:rsid w:val="00E15C19"/>
    <w:rsid w:val="00E44B1E"/>
    <w:rsid w:val="00E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C"/>
    <w:pPr>
      <w:ind w:left="720"/>
      <w:contextualSpacing/>
    </w:pPr>
  </w:style>
  <w:style w:type="table" w:styleId="TableGrid">
    <w:name w:val="Table Grid"/>
    <w:basedOn w:val="TableNormal"/>
    <w:uiPriority w:val="59"/>
    <w:rsid w:val="0087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63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C"/>
    <w:pPr>
      <w:ind w:left="720"/>
      <w:contextualSpacing/>
    </w:pPr>
  </w:style>
  <w:style w:type="table" w:styleId="TableGrid">
    <w:name w:val="Table Grid"/>
    <w:basedOn w:val="TableNormal"/>
    <w:uiPriority w:val="59"/>
    <w:rsid w:val="0087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63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Dlamini-Akintola</dc:creator>
  <cp:lastModifiedBy>IDE</cp:lastModifiedBy>
  <cp:revision>7</cp:revision>
  <cp:lastPrinted>2020-11-11T16:34:00Z</cp:lastPrinted>
  <dcterms:created xsi:type="dcterms:W3CDTF">2020-11-08T09:19:00Z</dcterms:created>
  <dcterms:modified xsi:type="dcterms:W3CDTF">2020-11-11T16:34:00Z</dcterms:modified>
</cp:coreProperties>
</file>